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35" w:rsidRPr="00B03D35" w:rsidRDefault="00B03D35" w:rsidP="00B03D35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B03D35">
        <w:rPr>
          <w:rFonts w:ascii="Times New Roman" w:hAnsi="Times New Roman" w:cs="Times New Roman"/>
          <w:i/>
          <w:sz w:val="24"/>
          <w:szCs w:val="28"/>
        </w:rPr>
        <w:t>Приложение №____</w:t>
      </w:r>
    </w:p>
    <w:p w:rsidR="007D4BB7" w:rsidRPr="00B03D35" w:rsidRDefault="00EA16EA" w:rsidP="00B03D35">
      <w:pPr>
        <w:rPr>
          <w:rFonts w:ascii="Times New Roman" w:hAnsi="Times New Roman" w:cs="Times New Roman"/>
          <w:b/>
          <w:sz w:val="24"/>
          <w:szCs w:val="24"/>
        </w:rPr>
      </w:pPr>
      <w:r w:rsidRPr="00B03D35">
        <w:rPr>
          <w:rFonts w:ascii="Times New Roman" w:hAnsi="Times New Roman" w:cs="Times New Roman"/>
          <w:b/>
          <w:sz w:val="24"/>
          <w:szCs w:val="24"/>
        </w:rPr>
        <w:t xml:space="preserve">Карта оценки </w:t>
      </w:r>
      <w:r w:rsidR="002C76E8" w:rsidRPr="00B03D35">
        <w:rPr>
          <w:rFonts w:ascii="Times New Roman" w:hAnsi="Times New Roman" w:cs="Times New Roman"/>
          <w:b/>
          <w:sz w:val="24"/>
          <w:szCs w:val="24"/>
        </w:rPr>
        <w:t>качества</w:t>
      </w:r>
      <w:r w:rsidR="00B03D35" w:rsidRPr="00B03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575" w:rsidRPr="00B03D35">
        <w:rPr>
          <w:rFonts w:ascii="Times New Roman" w:hAnsi="Times New Roman" w:cs="Times New Roman"/>
          <w:b/>
          <w:sz w:val="24"/>
          <w:szCs w:val="24"/>
        </w:rPr>
        <w:t>финансовых</w:t>
      </w:r>
      <w:r w:rsidRPr="00B03D35">
        <w:rPr>
          <w:rFonts w:ascii="Times New Roman" w:hAnsi="Times New Roman" w:cs="Times New Roman"/>
          <w:b/>
          <w:sz w:val="24"/>
          <w:szCs w:val="24"/>
        </w:rPr>
        <w:t xml:space="preserve"> условий</w:t>
      </w:r>
    </w:p>
    <w:p w:rsidR="001F58CD" w:rsidRPr="00B03D35" w:rsidRDefault="001F58CD" w:rsidP="00EA16E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0"/>
        <w:gridCol w:w="4962"/>
        <w:gridCol w:w="993"/>
        <w:gridCol w:w="4677"/>
      </w:tblGrid>
      <w:tr w:rsidR="007D4BB7" w:rsidRPr="00B03D35" w:rsidTr="006B1ADE">
        <w:tc>
          <w:tcPr>
            <w:tcW w:w="15452" w:type="dxa"/>
            <w:gridSpan w:val="4"/>
          </w:tcPr>
          <w:p w:rsidR="007D4BB7" w:rsidRPr="00B03D35" w:rsidRDefault="00850998" w:rsidP="00850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и</w:t>
            </w:r>
            <w:r w:rsidR="007D4BB7" w:rsidRPr="00B03D35">
              <w:rPr>
                <w:rFonts w:ascii="Times New Roman" w:hAnsi="Times New Roman" w:cs="Times New Roman"/>
                <w:b/>
                <w:sz w:val="24"/>
                <w:szCs w:val="24"/>
              </w:rPr>
              <w:t>ндикаторы</w:t>
            </w:r>
            <w:r w:rsidR="007D4BB7"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35" w:rsidRPr="00B03D35" w:rsidTr="006B1ADE">
        <w:tc>
          <w:tcPr>
            <w:tcW w:w="4820" w:type="dxa"/>
            <w:vAlign w:val="center"/>
          </w:tcPr>
          <w:p w:rsidR="00B03D35" w:rsidRPr="00B03D35" w:rsidRDefault="00B03D35" w:rsidP="0069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не подтверждается</w:t>
            </w:r>
          </w:p>
          <w:p w:rsidR="00B03D35" w:rsidRPr="00B03D35" w:rsidRDefault="00B03D35" w:rsidP="0069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(0 баллов)</w:t>
            </w:r>
          </w:p>
        </w:tc>
        <w:tc>
          <w:tcPr>
            <w:tcW w:w="4962" w:type="dxa"/>
            <w:vAlign w:val="center"/>
          </w:tcPr>
          <w:p w:rsidR="00B03D35" w:rsidRPr="00B03D35" w:rsidRDefault="00B03D35" w:rsidP="00B0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подтверждается</w:t>
            </w:r>
          </w:p>
          <w:p w:rsidR="00B03D35" w:rsidRPr="00B03D35" w:rsidRDefault="00B03D35" w:rsidP="0069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(1 балл)</w:t>
            </w:r>
          </w:p>
        </w:tc>
        <w:tc>
          <w:tcPr>
            <w:tcW w:w="5670" w:type="dxa"/>
            <w:gridSpan w:val="2"/>
            <w:vAlign w:val="center"/>
          </w:tcPr>
          <w:p w:rsidR="00B03D35" w:rsidRPr="00B03D35" w:rsidRDefault="00B03D35" w:rsidP="0069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подтверждается</w:t>
            </w:r>
          </w:p>
          <w:p w:rsidR="00B03D35" w:rsidRPr="00B03D35" w:rsidRDefault="00B03D35" w:rsidP="0069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 балл)</w:t>
            </w:r>
          </w:p>
        </w:tc>
      </w:tr>
      <w:tr w:rsidR="0080149A" w:rsidRPr="00B03D35" w:rsidTr="006B1ADE">
        <w:tc>
          <w:tcPr>
            <w:tcW w:w="15452" w:type="dxa"/>
            <w:gridSpan w:val="4"/>
            <w:vAlign w:val="center"/>
          </w:tcPr>
          <w:p w:rsidR="0080149A" w:rsidRPr="00B03D35" w:rsidRDefault="0080149A" w:rsidP="00B0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b/>
                <w:sz w:val="24"/>
                <w:szCs w:val="24"/>
              </w:rPr>
              <w:t>1. В Организации выполняется муниципальное задание как условие финансового обеспечения образовательной деятельности</w:t>
            </w:r>
          </w:p>
        </w:tc>
      </w:tr>
      <w:tr w:rsidR="00B03D35" w:rsidRPr="00B03D35" w:rsidTr="006B1ADE">
        <w:tc>
          <w:tcPr>
            <w:tcW w:w="4820" w:type="dxa"/>
            <w:vAlign w:val="center"/>
          </w:tcPr>
          <w:p w:rsidR="00B03D35" w:rsidRPr="00B03D35" w:rsidRDefault="00B03D35" w:rsidP="00F9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Объём выполнения МЗ </w:t>
            </w:r>
          </w:p>
          <w:p w:rsidR="00B03D35" w:rsidRPr="00B03D35" w:rsidRDefault="00B03D35" w:rsidP="00F9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составляет менее 90%</w:t>
            </w:r>
          </w:p>
        </w:tc>
        <w:tc>
          <w:tcPr>
            <w:tcW w:w="4962" w:type="dxa"/>
            <w:vAlign w:val="center"/>
          </w:tcPr>
          <w:p w:rsidR="00B03D35" w:rsidRPr="00B03D35" w:rsidRDefault="00B03D35" w:rsidP="00B0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Объём выполнения МЗ </w:t>
            </w:r>
          </w:p>
          <w:p w:rsidR="00B03D35" w:rsidRPr="00B03D35" w:rsidRDefault="00B03D35" w:rsidP="00B0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составляет от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% до 99,9%</w:t>
            </w:r>
          </w:p>
        </w:tc>
        <w:tc>
          <w:tcPr>
            <w:tcW w:w="5670" w:type="dxa"/>
            <w:gridSpan w:val="2"/>
            <w:vAlign w:val="center"/>
          </w:tcPr>
          <w:p w:rsidR="00B03D35" w:rsidRPr="00B03D35" w:rsidRDefault="00B03D35" w:rsidP="00801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Объём выполнения МЗ </w:t>
            </w:r>
          </w:p>
          <w:p w:rsidR="00B03D35" w:rsidRPr="00B03D35" w:rsidRDefault="00B03D35" w:rsidP="0004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составляет 100%</w:t>
            </w:r>
          </w:p>
        </w:tc>
      </w:tr>
      <w:tr w:rsidR="00B03D35" w:rsidRPr="00B03D35" w:rsidTr="006B1ADE">
        <w:tc>
          <w:tcPr>
            <w:tcW w:w="4820" w:type="dxa"/>
            <w:vAlign w:val="center"/>
          </w:tcPr>
          <w:p w:rsidR="00B03D35" w:rsidRPr="00B03D35" w:rsidRDefault="00B03D35" w:rsidP="00F9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B03D35" w:rsidRPr="00B03D35" w:rsidRDefault="00B03D35" w:rsidP="00B0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B03D35" w:rsidRPr="00B03D35" w:rsidRDefault="00B03D35" w:rsidP="00801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9A" w:rsidRPr="00B03D35" w:rsidTr="006B1ADE">
        <w:tc>
          <w:tcPr>
            <w:tcW w:w="15452" w:type="dxa"/>
            <w:gridSpan w:val="4"/>
          </w:tcPr>
          <w:p w:rsidR="0080149A" w:rsidRPr="00B03D35" w:rsidRDefault="00066048" w:rsidP="00B0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149A" w:rsidRPr="00B03D35">
              <w:rPr>
                <w:rFonts w:ascii="Times New Roman" w:hAnsi="Times New Roman" w:cs="Times New Roman"/>
                <w:b/>
                <w:sz w:val="24"/>
                <w:szCs w:val="24"/>
              </w:rPr>
              <w:t>. В Организации создана прозрачная система формирования (начисления) заработной платы работников</w:t>
            </w:r>
          </w:p>
        </w:tc>
      </w:tr>
      <w:tr w:rsidR="00B03D35" w:rsidRPr="00B03D35" w:rsidTr="006B1ADE">
        <w:tc>
          <w:tcPr>
            <w:tcW w:w="4820" w:type="dxa"/>
          </w:tcPr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В Организации имеются нормативные правовые акты (коллективный договор, трудовые договоры, приказы, положения об оплате труда, о материальном стимулировании, о порядке премирования, штатное расписание, табель учета рабочего времени, расчетные листки, тарификационные списки и пр.), однако работники не привлекались к их обсуждению, не знакомы с их содержанием.</w:t>
            </w:r>
          </w:p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опроса работников организации свидетельствуют о том, что им непонятен механизм формирования заработной </w:t>
            </w:r>
            <w:proofErr w:type="gramStart"/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платы и распределения стимулирующей части фонда оплаты труда</w:t>
            </w:r>
            <w:proofErr w:type="gramEnd"/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. Стимулирующая часть оплаты труда начисляется бессистемно и без видимой связи с действительными показателями результативности труда работников, в </w:t>
            </w:r>
            <w:proofErr w:type="spellStart"/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. в целях «уравнивания» размера заработной платы работников.</w:t>
            </w:r>
          </w:p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Результаты опроса работников свидетельствуют о недоверии и возможности махинаций</w:t>
            </w:r>
            <w:r w:rsidR="006B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в системе формирования (начисления) заработной платы.</w:t>
            </w:r>
          </w:p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Организации имеются необходимые нормативные правовые акты формирования (начисления) заработной платы за счёт бюджетных средств, к разработке которых привлекались работники.</w:t>
            </w:r>
          </w:p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Администрация Организации систематически эффективно взаимодействует с работниками по вопросам формирования (начисления) заработной платы, что подтверждается документально (приказы, протоколы, акты и пр.).</w:t>
            </w:r>
          </w:p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Каждый работник знает, за что конкретно ему выплачены те или иные суммы, сам контролирует правильность начислений и чётко понимает, какие нужно приложить усилия к увеличению размера собственной заработной платы. </w:t>
            </w:r>
          </w:p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Выработка и принятие решений по распределению стимулирующего фонда осуществляются с обязательным привлечением представителей органов государственно-общественного управления, трудового коллектива и профсоюзной организации.</w:t>
            </w:r>
          </w:p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опроса работников 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свидетельствуют об их лояльном отношении </w:t>
            </w:r>
          </w:p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к действующей в Организации системе формирования (начисления) заработной платы.</w:t>
            </w:r>
          </w:p>
        </w:tc>
        <w:tc>
          <w:tcPr>
            <w:tcW w:w="5670" w:type="dxa"/>
            <w:gridSpan w:val="2"/>
          </w:tcPr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Организации создана и действует понятная, ясная, прозрачная,  система формирования (начисления) заработной платы работников.</w:t>
            </w:r>
          </w:p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имеются необходимые нормативные правовые акты формирования (начисления) заработной платы из внебюджетных средств, в </w:t>
            </w:r>
            <w:proofErr w:type="spellStart"/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. за счёт оказания платных услуг.</w:t>
            </w:r>
          </w:p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Показатели и критерии оценки эффективности и качества деятельности</w:t>
            </w:r>
          </w:p>
          <w:p w:rsid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работников соотносятся с показателями и критериями оценки эффективности и качества деятельности руководителя Организации и его заместителей.</w:t>
            </w:r>
          </w:p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proofErr w:type="spellEnd"/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начислении</w:t>
            </w:r>
            <w:proofErr w:type="gramEnd"/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) заработной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размещена в открытом доступе на информационных стендах и сайте Организации в информационно-телекоммуникационной сети «Интернет».</w:t>
            </w:r>
          </w:p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опроса работников свидетельствуют </w:t>
            </w:r>
          </w:p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о справедливости оплаты </w:t>
            </w:r>
          </w:p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их труда.</w:t>
            </w:r>
          </w:p>
        </w:tc>
      </w:tr>
      <w:tr w:rsidR="00B03D35" w:rsidRPr="00B03D35" w:rsidTr="006B1ADE">
        <w:tc>
          <w:tcPr>
            <w:tcW w:w="4820" w:type="dxa"/>
          </w:tcPr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9A" w:rsidRPr="00B03D35" w:rsidTr="006B1ADE">
        <w:tc>
          <w:tcPr>
            <w:tcW w:w="15452" w:type="dxa"/>
            <w:gridSpan w:val="4"/>
          </w:tcPr>
          <w:p w:rsidR="0080149A" w:rsidRPr="00B03D35" w:rsidRDefault="00066048" w:rsidP="00B0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0149A" w:rsidRPr="00B03D35">
              <w:rPr>
                <w:rFonts w:ascii="Times New Roman" w:hAnsi="Times New Roman" w:cs="Times New Roman"/>
                <w:b/>
                <w:sz w:val="24"/>
                <w:szCs w:val="24"/>
              </w:rPr>
              <w:t>. В Организации проводится мониторинг уровня заработной платы работников</w:t>
            </w:r>
          </w:p>
        </w:tc>
      </w:tr>
      <w:tr w:rsidR="00B03D35" w:rsidRPr="00B03D35" w:rsidTr="006B1ADE">
        <w:tc>
          <w:tcPr>
            <w:tcW w:w="4820" w:type="dxa"/>
          </w:tcPr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Сбор и анализ информации о размерах среднемесячной заработной платы работников Организации не проводится. </w:t>
            </w:r>
          </w:p>
        </w:tc>
        <w:tc>
          <w:tcPr>
            <w:tcW w:w="4962" w:type="dxa"/>
          </w:tcPr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Информация о размерах среднемесячной заработной платы по должностям работников Организации обобщается 1-2 раза в год</w:t>
            </w:r>
          </w:p>
          <w:p w:rsidR="00B03D35" w:rsidRPr="00B03D35" w:rsidRDefault="00B03D35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руководителя. </w:t>
            </w:r>
          </w:p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 не оформляются документально, не предоставляются </w:t>
            </w:r>
          </w:p>
          <w:p w:rsidR="00B03D35" w:rsidRPr="00B03D35" w:rsidRDefault="00B03D35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для ознакомления работников и не используются руководителем как инструмент формирования кадровой политики Организации и обеспечения качества образования</w:t>
            </w:r>
          </w:p>
        </w:tc>
        <w:tc>
          <w:tcPr>
            <w:tcW w:w="5670" w:type="dxa"/>
            <w:gridSpan w:val="2"/>
          </w:tcPr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Мониторинг размера среднемесячной заработной платы работников осуществляется по инициативе руководителя Организации и носит целенаправленный плановый характер,</w:t>
            </w:r>
            <w:r w:rsidR="006B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что зафиксировано в локальных нормативных актах Организации.</w:t>
            </w:r>
          </w:p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по различным показателям систематизируются  в отчётах, которые находятся в открытом доступе для ознакомления работников.</w:t>
            </w:r>
          </w:p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Мониторинг  используется руководителем Организации как аналитико-статистический инструмент для повышения конкурентоспособности Организации, разработки стратегии удержания и привлечения квалифицированных работников, а также их мотивации «работать на результат».</w:t>
            </w:r>
          </w:p>
        </w:tc>
      </w:tr>
      <w:tr w:rsidR="00B03D35" w:rsidRPr="00B03D35" w:rsidTr="006B1ADE">
        <w:tc>
          <w:tcPr>
            <w:tcW w:w="4820" w:type="dxa"/>
          </w:tcPr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9A" w:rsidRPr="00B03D35" w:rsidTr="006B1ADE">
        <w:tc>
          <w:tcPr>
            <w:tcW w:w="15452" w:type="dxa"/>
            <w:gridSpan w:val="4"/>
          </w:tcPr>
          <w:p w:rsidR="00B03D35" w:rsidRDefault="00066048" w:rsidP="00B0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0149A" w:rsidRPr="00B03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Финансовые средства направляются на обеспечение Организации ресурсами, необходимыми </w:t>
            </w:r>
          </w:p>
          <w:p w:rsidR="0080149A" w:rsidRPr="00B03D35" w:rsidRDefault="0080149A" w:rsidP="00B0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b/>
                <w:sz w:val="24"/>
                <w:szCs w:val="24"/>
              </w:rPr>
              <w:t>для реализации образовательных программ</w:t>
            </w:r>
          </w:p>
        </w:tc>
      </w:tr>
      <w:tr w:rsidR="00B03D35" w:rsidRPr="00B03D35" w:rsidTr="006B1ADE">
        <w:tc>
          <w:tcPr>
            <w:tcW w:w="4820" w:type="dxa"/>
          </w:tcPr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Бюджетные финансовые средства не направляются на обеспечение Организации ресурсами, необходимыми для реализации образовательных программ. Потребности в ресурсах, необходимых для реализации образовательных программ, не учитываются.</w:t>
            </w:r>
          </w:p>
        </w:tc>
        <w:tc>
          <w:tcPr>
            <w:tcW w:w="5955" w:type="dxa"/>
            <w:gridSpan w:val="2"/>
          </w:tcPr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финансовые средства целенаправленно планомерно направляются на обеспечение Организации ресурсами, необходимыми для реализации образовательных программ </w:t>
            </w:r>
          </w:p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с учётом долгосрочной перспективы</w:t>
            </w:r>
          </w:p>
        </w:tc>
        <w:tc>
          <w:tcPr>
            <w:tcW w:w="4677" w:type="dxa"/>
          </w:tcPr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финансовые средства направляются на обеспечение Организации ресурсами, необходимыми для реализации образовательных проектов, программ и планов </w:t>
            </w:r>
          </w:p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сверх реализуемых образовательных программ</w:t>
            </w:r>
          </w:p>
        </w:tc>
      </w:tr>
      <w:tr w:rsidR="00B03D35" w:rsidRPr="00B03D35" w:rsidTr="006B1ADE">
        <w:tc>
          <w:tcPr>
            <w:tcW w:w="4820" w:type="dxa"/>
          </w:tcPr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2"/>
          </w:tcPr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03D35" w:rsidRPr="00B03D35" w:rsidRDefault="00B03D35" w:rsidP="00B03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9A" w:rsidRPr="00B03D35" w:rsidTr="006B1ADE">
        <w:tc>
          <w:tcPr>
            <w:tcW w:w="15452" w:type="dxa"/>
            <w:gridSpan w:val="4"/>
          </w:tcPr>
          <w:p w:rsidR="0080149A" w:rsidRPr="00B03D35" w:rsidRDefault="00E300EE" w:rsidP="00E80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149A" w:rsidRPr="00B03D35">
              <w:rPr>
                <w:rFonts w:ascii="Times New Roman" w:hAnsi="Times New Roman" w:cs="Times New Roman"/>
                <w:b/>
                <w:sz w:val="24"/>
                <w:szCs w:val="24"/>
              </w:rPr>
              <w:t>. В общем объёме финансирования реализации образовательных программ</w:t>
            </w:r>
          </w:p>
          <w:p w:rsidR="0080149A" w:rsidRPr="00B03D35" w:rsidRDefault="0080149A" w:rsidP="00E80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используются внебюджетные средства из дополнительных источников финансирования </w:t>
            </w:r>
          </w:p>
          <w:p w:rsidR="0080149A" w:rsidRPr="00B03D35" w:rsidRDefault="0080149A" w:rsidP="00E80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b/>
                <w:sz w:val="24"/>
                <w:szCs w:val="24"/>
              </w:rPr>
              <w:t>(платные услуги, добровольные пожертвования, целевые спонсорские взносы, гранты и пр.)</w:t>
            </w:r>
          </w:p>
        </w:tc>
      </w:tr>
      <w:tr w:rsidR="006B1ADE" w:rsidRPr="00B03D35" w:rsidTr="006B1ADE">
        <w:tc>
          <w:tcPr>
            <w:tcW w:w="4820" w:type="dxa"/>
          </w:tcPr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В общем объёме финансирования 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доля внебюджетных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 составляет менее 2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955" w:type="dxa"/>
            <w:gridSpan w:val="2"/>
          </w:tcPr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общем объёме финансирования реализации 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доля внебюджетных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от 2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677" w:type="dxa"/>
          </w:tcPr>
          <w:p w:rsidR="006B1ADE" w:rsidRPr="00B03D35" w:rsidRDefault="006B1ADE" w:rsidP="007613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общем объёме финансирования 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образовательных программ доля внебюджетных средств</w:t>
            </w:r>
          </w:p>
          <w:p w:rsidR="006B1ADE" w:rsidRPr="00B03D35" w:rsidRDefault="006B1ADE" w:rsidP="007613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более 5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B1ADE" w:rsidRPr="00B03D35" w:rsidTr="006B1ADE">
        <w:tc>
          <w:tcPr>
            <w:tcW w:w="4820" w:type="dxa"/>
          </w:tcPr>
          <w:p w:rsidR="006B1ADE" w:rsidRPr="00B03D35" w:rsidRDefault="006B1ADE" w:rsidP="007613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2"/>
          </w:tcPr>
          <w:p w:rsidR="006B1ADE" w:rsidRPr="00B03D35" w:rsidRDefault="006B1ADE" w:rsidP="007613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B1ADE" w:rsidRPr="00B03D35" w:rsidRDefault="006B1ADE" w:rsidP="007613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9A" w:rsidRPr="00B03D35" w:rsidTr="006B1ADE">
        <w:tc>
          <w:tcPr>
            <w:tcW w:w="15452" w:type="dxa"/>
            <w:gridSpan w:val="4"/>
          </w:tcPr>
          <w:p w:rsidR="0080149A" w:rsidRPr="00B03D35" w:rsidRDefault="00E300EE" w:rsidP="006B1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0149A" w:rsidRPr="00B03D35">
              <w:rPr>
                <w:rFonts w:ascii="Times New Roman" w:hAnsi="Times New Roman" w:cs="Times New Roman"/>
                <w:b/>
                <w:sz w:val="24"/>
                <w:szCs w:val="24"/>
              </w:rPr>
              <w:t>. В Организации обеспечивается общественный характер принятия решений</w:t>
            </w:r>
          </w:p>
          <w:p w:rsidR="00E300EE" w:rsidRPr="00B03D35" w:rsidRDefault="00DE4572" w:rsidP="006B1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b/>
                <w:sz w:val="24"/>
                <w:szCs w:val="24"/>
              </w:rPr>
              <w:t>при распределении финансовых средст</w:t>
            </w:r>
            <w:r w:rsidR="00774868" w:rsidRPr="00B03D35">
              <w:rPr>
                <w:rFonts w:ascii="Times New Roman" w:hAnsi="Times New Roman" w:cs="Times New Roman"/>
                <w:b/>
                <w:sz w:val="24"/>
                <w:szCs w:val="24"/>
              </w:rPr>
              <w:t>в по статьям расходов плана ФХД</w:t>
            </w:r>
          </w:p>
        </w:tc>
      </w:tr>
      <w:tr w:rsidR="006B1ADE" w:rsidRPr="00B03D35" w:rsidTr="006B1ADE">
        <w:tc>
          <w:tcPr>
            <w:tcW w:w="4820" w:type="dxa"/>
          </w:tcPr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финансовых средств по статьям расходов плана ФХД осуществляется путём принятия управленческих решений </w:t>
            </w:r>
          </w:p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без проведения процедуры изучения мнений родительской и педагогической общественности Организации.</w:t>
            </w:r>
          </w:p>
        </w:tc>
        <w:tc>
          <w:tcPr>
            <w:tcW w:w="5955" w:type="dxa"/>
            <w:gridSpan w:val="2"/>
          </w:tcPr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изучения мнения родительской и педагогической общественности Организации осуществляется, что подтверждается документально </w:t>
            </w:r>
          </w:p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(аналитические справки, отчёты, протоколы),  но полученные результаты учитываются при распределении финансовых средств по статьям расходов плана ФХД лишь в том случае, если они совпадают с мнением администрации. </w:t>
            </w:r>
          </w:p>
        </w:tc>
        <w:tc>
          <w:tcPr>
            <w:tcW w:w="4677" w:type="dxa"/>
          </w:tcPr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изучения мнения родительской и педагогической общественности Организации осуществляется, </w:t>
            </w:r>
          </w:p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что подтверждается документально (аналитическ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справки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, протоколы).</w:t>
            </w:r>
          </w:p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В Организации применяется практика общественного обсуждения плана ФХД. Организации.</w:t>
            </w:r>
          </w:p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Администрация проводит пояснительную работу в случае, если родители выступают в позиции оппонентов.</w:t>
            </w:r>
          </w:p>
        </w:tc>
      </w:tr>
      <w:tr w:rsidR="006B1ADE" w:rsidRPr="00B03D35" w:rsidTr="006B1ADE">
        <w:tc>
          <w:tcPr>
            <w:tcW w:w="4820" w:type="dxa"/>
          </w:tcPr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2"/>
          </w:tcPr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9A" w:rsidRPr="00B03D35" w:rsidTr="006B1ADE">
        <w:tc>
          <w:tcPr>
            <w:tcW w:w="15452" w:type="dxa"/>
            <w:gridSpan w:val="4"/>
          </w:tcPr>
          <w:p w:rsidR="0080149A" w:rsidRPr="00B03D35" w:rsidRDefault="00E300EE" w:rsidP="002C7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0149A" w:rsidRPr="00B03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Информация о финансовом обеспечении  реализации образовательных программ </w:t>
            </w:r>
          </w:p>
          <w:p w:rsidR="0080149A" w:rsidRPr="006B1ADE" w:rsidRDefault="0080149A" w:rsidP="006B1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b/>
                <w:sz w:val="24"/>
                <w:szCs w:val="24"/>
              </w:rPr>
              <w:t>является общедоступной и открытой</w:t>
            </w:r>
          </w:p>
        </w:tc>
      </w:tr>
      <w:tr w:rsidR="006B1ADE" w:rsidRPr="00B03D35" w:rsidTr="006B1ADE">
        <w:tc>
          <w:tcPr>
            <w:tcW w:w="4820" w:type="dxa"/>
          </w:tcPr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</w:t>
            </w:r>
          </w:p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Организации отсутствует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о финансовом обеспечении реализации образовательных программ</w:t>
            </w:r>
          </w:p>
        </w:tc>
        <w:tc>
          <w:tcPr>
            <w:tcW w:w="5955" w:type="dxa"/>
            <w:gridSpan w:val="2"/>
          </w:tcPr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Перечень представленной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информации о финансовом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обеспечении реализации образовательных программ соответствует требованиям действующего законодательства </w:t>
            </w:r>
          </w:p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за исключением наличия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отчетности о расходовании финансовых средств по итогам финансового</w:t>
            </w:r>
            <w:bookmarkStart w:id="0" w:name="_GoBack"/>
            <w:bookmarkEnd w:id="0"/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77" w:type="dxa"/>
          </w:tcPr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представленной  на официальном сайте Организации </w:t>
            </w:r>
          </w:p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информации о финансовом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обеспечении реализации образовательных программ полностью соответствует требованиям действующего законодательства</w:t>
            </w:r>
          </w:p>
        </w:tc>
      </w:tr>
      <w:tr w:rsidR="006B1ADE" w:rsidRPr="00B03D35" w:rsidTr="006B1ADE">
        <w:tc>
          <w:tcPr>
            <w:tcW w:w="4820" w:type="dxa"/>
          </w:tcPr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2"/>
          </w:tcPr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9A" w:rsidRPr="00B03D35" w:rsidTr="006B1ADE">
        <w:tc>
          <w:tcPr>
            <w:tcW w:w="15452" w:type="dxa"/>
            <w:gridSpan w:val="4"/>
          </w:tcPr>
          <w:p w:rsidR="0080149A" w:rsidRPr="00B03D35" w:rsidRDefault="00E300EE" w:rsidP="006B1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0149A" w:rsidRPr="00B03D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0149A"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9A" w:rsidRPr="00B03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Организации осуществляются обоснованные, рентабельные затраты </w:t>
            </w:r>
            <w:r w:rsidR="00C847EF" w:rsidRPr="00B03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бюджетных </w:t>
            </w:r>
            <w:r w:rsidR="0080149A" w:rsidRPr="00B03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финансовых средств </w:t>
            </w:r>
          </w:p>
          <w:p w:rsidR="0080149A" w:rsidRPr="00B03D35" w:rsidRDefault="0080149A" w:rsidP="00774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b/>
                <w:sz w:val="24"/>
                <w:szCs w:val="24"/>
              </w:rPr>
              <w:t>на дополнительное профессиональное образование работников</w:t>
            </w:r>
          </w:p>
        </w:tc>
      </w:tr>
      <w:tr w:rsidR="006B1ADE" w:rsidRPr="00B03D35" w:rsidTr="006B1ADE">
        <w:tc>
          <w:tcPr>
            <w:tcW w:w="4820" w:type="dxa"/>
          </w:tcPr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В план ФХД не заложены финансовые средства на дополнительное профессиональное образование или профессиональную переподготовку работников.</w:t>
            </w:r>
          </w:p>
        </w:tc>
        <w:tc>
          <w:tcPr>
            <w:tcW w:w="5955" w:type="dxa"/>
            <w:gridSpan w:val="2"/>
          </w:tcPr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В план ФХД заложены финансовые средства на дополнительное профессиональное образование</w:t>
            </w:r>
          </w:p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 xml:space="preserve"> или профессиональную переподготовку работников, но они не израсходованы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в полном объёме в связи с передвижкой на другие статьи расходов.</w:t>
            </w:r>
          </w:p>
        </w:tc>
        <w:tc>
          <w:tcPr>
            <w:tcW w:w="4677" w:type="dxa"/>
          </w:tcPr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Заложенные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ФХД финансовые средства 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на дополнительное профессиональное образование или профессиональную переподготовку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израсходованы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D35">
              <w:rPr>
                <w:rFonts w:ascii="Times New Roman" w:hAnsi="Times New Roman" w:cs="Times New Roman"/>
                <w:sz w:val="24"/>
                <w:szCs w:val="24"/>
              </w:rPr>
              <w:t>в полном объёме.</w:t>
            </w:r>
          </w:p>
        </w:tc>
      </w:tr>
      <w:tr w:rsidR="006B1ADE" w:rsidRPr="00B03D35" w:rsidTr="006B1ADE">
        <w:tc>
          <w:tcPr>
            <w:tcW w:w="4820" w:type="dxa"/>
          </w:tcPr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2"/>
          </w:tcPr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B1ADE" w:rsidRPr="00B03D35" w:rsidRDefault="006B1ADE" w:rsidP="006B1A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F3A" w:rsidRPr="00B03D35" w:rsidRDefault="008A3F3A" w:rsidP="00DF5F77">
      <w:pPr>
        <w:rPr>
          <w:rFonts w:ascii="Times New Roman" w:hAnsi="Times New Roman" w:cs="Times New Roman"/>
          <w:b/>
          <w:sz w:val="24"/>
          <w:szCs w:val="24"/>
        </w:rPr>
      </w:pPr>
    </w:p>
    <w:sectPr w:rsidR="008A3F3A" w:rsidRPr="00B03D35" w:rsidSect="001D0531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EA"/>
    <w:rsid w:val="00015E23"/>
    <w:rsid w:val="00040C59"/>
    <w:rsid w:val="0004230E"/>
    <w:rsid w:val="00046F6D"/>
    <w:rsid w:val="000602A0"/>
    <w:rsid w:val="000646BD"/>
    <w:rsid w:val="00066048"/>
    <w:rsid w:val="00066278"/>
    <w:rsid w:val="00090EE4"/>
    <w:rsid w:val="000D01DB"/>
    <w:rsid w:val="000D5538"/>
    <w:rsid w:val="000D694F"/>
    <w:rsid w:val="0010018E"/>
    <w:rsid w:val="0011683F"/>
    <w:rsid w:val="00137068"/>
    <w:rsid w:val="001C059E"/>
    <w:rsid w:val="001D0531"/>
    <w:rsid w:val="001F58CD"/>
    <w:rsid w:val="00225206"/>
    <w:rsid w:val="00226DE1"/>
    <w:rsid w:val="002302FB"/>
    <w:rsid w:val="00245A6D"/>
    <w:rsid w:val="00296935"/>
    <w:rsid w:val="002A51A4"/>
    <w:rsid w:val="002B544F"/>
    <w:rsid w:val="002C7087"/>
    <w:rsid w:val="002C76E8"/>
    <w:rsid w:val="002D682B"/>
    <w:rsid w:val="002E1A47"/>
    <w:rsid w:val="002F6783"/>
    <w:rsid w:val="00332AC8"/>
    <w:rsid w:val="00366F5D"/>
    <w:rsid w:val="00380B90"/>
    <w:rsid w:val="0039124F"/>
    <w:rsid w:val="0039171A"/>
    <w:rsid w:val="003A639E"/>
    <w:rsid w:val="00411F63"/>
    <w:rsid w:val="0045379A"/>
    <w:rsid w:val="00466D9E"/>
    <w:rsid w:val="0048524A"/>
    <w:rsid w:val="004A0B4F"/>
    <w:rsid w:val="004A35F5"/>
    <w:rsid w:val="004C6DB7"/>
    <w:rsid w:val="004D5686"/>
    <w:rsid w:val="004D697F"/>
    <w:rsid w:val="005107CE"/>
    <w:rsid w:val="0052162F"/>
    <w:rsid w:val="00523D3B"/>
    <w:rsid w:val="0052416A"/>
    <w:rsid w:val="00533BA8"/>
    <w:rsid w:val="005439AA"/>
    <w:rsid w:val="00555622"/>
    <w:rsid w:val="005C5C55"/>
    <w:rsid w:val="005C7CDF"/>
    <w:rsid w:val="005D7656"/>
    <w:rsid w:val="005E1F49"/>
    <w:rsid w:val="005E517A"/>
    <w:rsid w:val="00607B01"/>
    <w:rsid w:val="0061395A"/>
    <w:rsid w:val="00633E94"/>
    <w:rsid w:val="00666F23"/>
    <w:rsid w:val="00676270"/>
    <w:rsid w:val="00680BB9"/>
    <w:rsid w:val="00695F1A"/>
    <w:rsid w:val="006973F3"/>
    <w:rsid w:val="006A6EB9"/>
    <w:rsid w:val="006B1ADE"/>
    <w:rsid w:val="006D3F45"/>
    <w:rsid w:val="006E421D"/>
    <w:rsid w:val="00701F30"/>
    <w:rsid w:val="007147B6"/>
    <w:rsid w:val="0072100F"/>
    <w:rsid w:val="0073678B"/>
    <w:rsid w:val="00744EB4"/>
    <w:rsid w:val="00761349"/>
    <w:rsid w:val="00767BC3"/>
    <w:rsid w:val="00774868"/>
    <w:rsid w:val="00775FC7"/>
    <w:rsid w:val="0077735A"/>
    <w:rsid w:val="00785CC7"/>
    <w:rsid w:val="0078745D"/>
    <w:rsid w:val="007935E4"/>
    <w:rsid w:val="007A6027"/>
    <w:rsid w:val="007B4910"/>
    <w:rsid w:val="007D4BB7"/>
    <w:rsid w:val="007E2FAB"/>
    <w:rsid w:val="007E4B49"/>
    <w:rsid w:val="0080149A"/>
    <w:rsid w:val="00815AC5"/>
    <w:rsid w:val="0084745D"/>
    <w:rsid w:val="00850998"/>
    <w:rsid w:val="00854110"/>
    <w:rsid w:val="0086617E"/>
    <w:rsid w:val="008716AC"/>
    <w:rsid w:val="00884575"/>
    <w:rsid w:val="00892914"/>
    <w:rsid w:val="008A3F3A"/>
    <w:rsid w:val="008A4BED"/>
    <w:rsid w:val="008B04E0"/>
    <w:rsid w:val="008C5D0B"/>
    <w:rsid w:val="008E77E5"/>
    <w:rsid w:val="008F381D"/>
    <w:rsid w:val="00901A9E"/>
    <w:rsid w:val="00906091"/>
    <w:rsid w:val="00914139"/>
    <w:rsid w:val="00914B85"/>
    <w:rsid w:val="00915953"/>
    <w:rsid w:val="00921BDE"/>
    <w:rsid w:val="00941464"/>
    <w:rsid w:val="0097722A"/>
    <w:rsid w:val="009A5DB1"/>
    <w:rsid w:val="009C1DFF"/>
    <w:rsid w:val="009C2163"/>
    <w:rsid w:val="009E2E4E"/>
    <w:rsid w:val="009E49A3"/>
    <w:rsid w:val="009E63C7"/>
    <w:rsid w:val="00A11AB4"/>
    <w:rsid w:val="00A25B34"/>
    <w:rsid w:val="00A351B4"/>
    <w:rsid w:val="00A54D39"/>
    <w:rsid w:val="00A55214"/>
    <w:rsid w:val="00A90401"/>
    <w:rsid w:val="00AA4A01"/>
    <w:rsid w:val="00AA65E5"/>
    <w:rsid w:val="00AF0C72"/>
    <w:rsid w:val="00AF5A8D"/>
    <w:rsid w:val="00B03D35"/>
    <w:rsid w:val="00B246B3"/>
    <w:rsid w:val="00B32ADB"/>
    <w:rsid w:val="00B45703"/>
    <w:rsid w:val="00B76945"/>
    <w:rsid w:val="00B77653"/>
    <w:rsid w:val="00B84FD7"/>
    <w:rsid w:val="00B947BB"/>
    <w:rsid w:val="00BB14D6"/>
    <w:rsid w:val="00BC397E"/>
    <w:rsid w:val="00BC6044"/>
    <w:rsid w:val="00BF39BB"/>
    <w:rsid w:val="00C13DDE"/>
    <w:rsid w:val="00C35593"/>
    <w:rsid w:val="00C4082E"/>
    <w:rsid w:val="00C5159A"/>
    <w:rsid w:val="00C67284"/>
    <w:rsid w:val="00C67D7B"/>
    <w:rsid w:val="00C7389E"/>
    <w:rsid w:val="00C75721"/>
    <w:rsid w:val="00C8054F"/>
    <w:rsid w:val="00C826BB"/>
    <w:rsid w:val="00C8423C"/>
    <w:rsid w:val="00C847EF"/>
    <w:rsid w:val="00C93ACD"/>
    <w:rsid w:val="00CB5C9D"/>
    <w:rsid w:val="00CB75A7"/>
    <w:rsid w:val="00CC53E6"/>
    <w:rsid w:val="00CF0C95"/>
    <w:rsid w:val="00D02BC8"/>
    <w:rsid w:val="00D327B1"/>
    <w:rsid w:val="00D5438F"/>
    <w:rsid w:val="00D564F1"/>
    <w:rsid w:val="00D66692"/>
    <w:rsid w:val="00D70444"/>
    <w:rsid w:val="00D80F3F"/>
    <w:rsid w:val="00DB1B64"/>
    <w:rsid w:val="00DC224F"/>
    <w:rsid w:val="00DD4367"/>
    <w:rsid w:val="00DD6A05"/>
    <w:rsid w:val="00DE4572"/>
    <w:rsid w:val="00DE7B89"/>
    <w:rsid w:val="00DF5895"/>
    <w:rsid w:val="00DF5F77"/>
    <w:rsid w:val="00E0730C"/>
    <w:rsid w:val="00E1779F"/>
    <w:rsid w:val="00E300EE"/>
    <w:rsid w:val="00E352B4"/>
    <w:rsid w:val="00E360F6"/>
    <w:rsid w:val="00E45274"/>
    <w:rsid w:val="00E522FC"/>
    <w:rsid w:val="00E56591"/>
    <w:rsid w:val="00E974C2"/>
    <w:rsid w:val="00E97C46"/>
    <w:rsid w:val="00EA16EA"/>
    <w:rsid w:val="00EA1F74"/>
    <w:rsid w:val="00EA7A5D"/>
    <w:rsid w:val="00EB5A73"/>
    <w:rsid w:val="00ED3B3D"/>
    <w:rsid w:val="00ED7287"/>
    <w:rsid w:val="00EE1EE3"/>
    <w:rsid w:val="00EF5E56"/>
    <w:rsid w:val="00F02D7C"/>
    <w:rsid w:val="00F10A81"/>
    <w:rsid w:val="00F225FF"/>
    <w:rsid w:val="00F57DFC"/>
    <w:rsid w:val="00F6076F"/>
    <w:rsid w:val="00F60BA3"/>
    <w:rsid w:val="00F70E15"/>
    <w:rsid w:val="00F97198"/>
    <w:rsid w:val="00F97752"/>
    <w:rsid w:val="00FA3AD5"/>
    <w:rsid w:val="00FC3A8F"/>
    <w:rsid w:val="00FC5563"/>
    <w:rsid w:val="00FD7947"/>
    <w:rsid w:val="00F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зам. по УВР</cp:lastModifiedBy>
  <cp:revision>1</cp:revision>
  <cp:lastPrinted>2021-03-03T01:30:00Z</cp:lastPrinted>
  <dcterms:created xsi:type="dcterms:W3CDTF">2017-12-04T10:54:00Z</dcterms:created>
  <dcterms:modified xsi:type="dcterms:W3CDTF">2021-03-03T01:31:00Z</dcterms:modified>
</cp:coreProperties>
</file>